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香河县统计局部门</w:t>
      </w:r>
    </w:p>
    <w:p>
      <w:pPr>
        <w:spacing w:before="624"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香河县统计局</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r>
        <w:br w:type="page"/>
      </w:r>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Pr>
        <w:ind w:firstLine="560"/>
        <w:rPr>
          <w:rFonts w:ascii="黑体" w:hAnsi="Cambria" w:eastAsia="黑体" w:cs="黑体"/>
          <w:kern w:val="0"/>
          <w:sz w:val="32"/>
          <w:szCs w:val="32"/>
        </w:rPr>
      </w:pPr>
      <w:r>
        <w:rPr>
          <w:rFonts w:hint="eastAsia" w:ascii="黑体" w:hAnsi="Cambria" w:eastAsia="黑体" w:cs="黑体"/>
          <w:kern w:val="0"/>
          <w:sz w:val="32"/>
          <w:szCs w:val="32"/>
        </w:rPr>
        <w:t>一、部门职责</w:t>
      </w:r>
    </w:p>
    <w:p>
      <w:pPr>
        <w:ind w:firstLine="560"/>
        <w:rPr>
          <w:rFonts w:ascii="仿宋" w:hAnsi="仿宋" w:eastAsia="仿宋"/>
          <w:sz w:val="32"/>
          <w:szCs w:val="32"/>
        </w:rPr>
      </w:pPr>
      <w:r>
        <w:rPr>
          <w:rFonts w:hint="eastAsia" w:ascii="仿宋" w:hAnsi="仿宋" w:eastAsia="仿宋"/>
          <w:sz w:val="32"/>
          <w:szCs w:val="32"/>
        </w:rPr>
        <w:t>1</w:t>
      </w:r>
      <w:r>
        <w:rPr>
          <w:rFonts w:hint="eastAsia" w:ascii="仿宋" w:hAnsi="仿宋" w:eastAsia="仿宋" w:cs="宋体"/>
          <w:sz w:val="32"/>
          <w:szCs w:val="32"/>
        </w:rPr>
        <w:t>、依照国家和省颁布的法律、法规和政策，制定地方性统计工作规章制度和统计现代化建设计划，检查。监督统计法律、法规的实施。</w:t>
      </w:r>
    </w:p>
    <w:p>
      <w:pPr>
        <w:spacing w:after="0" w:line="240" w:lineRule="auto"/>
        <w:ind w:firstLine="560"/>
        <w:rPr>
          <w:rFonts w:ascii="仿宋" w:hAnsi="仿宋" w:eastAsia="仿宋"/>
          <w:sz w:val="32"/>
          <w:szCs w:val="32"/>
        </w:rPr>
      </w:pPr>
      <w:r>
        <w:rPr>
          <w:rFonts w:hint="eastAsia" w:ascii="仿宋" w:hAnsi="仿宋" w:eastAsia="仿宋"/>
          <w:sz w:val="32"/>
          <w:szCs w:val="32"/>
        </w:rPr>
        <w:t>2</w:t>
      </w:r>
      <w:r>
        <w:rPr>
          <w:rFonts w:hint="eastAsia" w:ascii="仿宋" w:hAnsi="仿宋" w:eastAsia="仿宋" w:cs="宋体"/>
          <w:sz w:val="32"/>
          <w:szCs w:val="32"/>
        </w:rPr>
        <w:t>、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pPr>
        <w:spacing w:after="0" w:line="240" w:lineRule="auto"/>
        <w:ind w:firstLine="560"/>
        <w:rPr>
          <w:rFonts w:ascii="仿宋" w:hAnsi="仿宋" w:eastAsia="仿宋"/>
          <w:sz w:val="32"/>
          <w:szCs w:val="32"/>
        </w:rPr>
      </w:pPr>
      <w:r>
        <w:rPr>
          <w:rFonts w:hint="eastAsia" w:ascii="仿宋" w:hAnsi="仿宋" w:eastAsia="仿宋"/>
          <w:sz w:val="32"/>
          <w:szCs w:val="32"/>
        </w:rPr>
        <w:t>3</w:t>
      </w:r>
      <w:r>
        <w:rPr>
          <w:rFonts w:hint="eastAsia" w:ascii="仿宋" w:hAnsi="仿宋" w:eastAsia="仿宋" w:cs="宋体"/>
          <w:sz w:val="32"/>
          <w:szCs w:val="32"/>
        </w:rPr>
        <w:t>、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pPr>
        <w:spacing w:after="0" w:line="240" w:lineRule="auto"/>
        <w:ind w:firstLine="560"/>
        <w:rPr>
          <w:rFonts w:ascii="仿宋" w:hAnsi="仿宋" w:eastAsia="仿宋"/>
          <w:sz w:val="32"/>
          <w:szCs w:val="32"/>
        </w:rPr>
      </w:pPr>
      <w:r>
        <w:rPr>
          <w:rFonts w:hint="eastAsia" w:ascii="仿宋" w:hAnsi="仿宋" w:eastAsia="仿宋"/>
          <w:sz w:val="32"/>
          <w:szCs w:val="32"/>
        </w:rPr>
        <w:t>4</w:t>
      </w:r>
      <w:r>
        <w:rPr>
          <w:rFonts w:hint="eastAsia" w:ascii="仿宋" w:hAnsi="仿宋" w:eastAsia="仿宋" w:cs="宋体"/>
          <w:sz w:val="32"/>
          <w:szCs w:val="32"/>
        </w:rPr>
        <w:t>、统一核定、管理全县性的基本统计资料，发布全县国民经济和社会发展情况的统计信息。</w:t>
      </w:r>
    </w:p>
    <w:p>
      <w:pPr>
        <w:spacing w:after="0" w:line="240" w:lineRule="auto"/>
        <w:ind w:firstLine="560"/>
        <w:rPr>
          <w:rFonts w:ascii="仿宋" w:hAnsi="仿宋" w:eastAsia="仿宋"/>
          <w:sz w:val="32"/>
          <w:szCs w:val="32"/>
        </w:rPr>
      </w:pPr>
      <w:r>
        <w:rPr>
          <w:rFonts w:hint="eastAsia" w:ascii="仿宋" w:hAnsi="仿宋" w:eastAsia="仿宋"/>
          <w:sz w:val="32"/>
          <w:szCs w:val="32"/>
        </w:rPr>
        <w:t>5</w:t>
      </w:r>
      <w:r>
        <w:rPr>
          <w:rFonts w:hint="eastAsia" w:ascii="仿宋" w:hAnsi="仿宋" w:eastAsia="仿宋" w:cs="宋体"/>
          <w:sz w:val="32"/>
          <w:szCs w:val="32"/>
        </w:rPr>
        <w:t>、承办县委、县政府交办的其他事项。</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香河下统计局</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tbl>
      <w:tblPr>
        <w:tblStyle w:val="6"/>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香河县统计局</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hAnsi="宋体" w:cs="宋体"/>
                <w:color w:val="000000"/>
                <w:kern w:val="0"/>
                <w:sz w:val="20"/>
                <w:szCs w:val="20"/>
              </w:rPr>
              <w:t>723.58</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638.34</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22.46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95.49</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16.59</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27.83</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18"/>
                <w:szCs w:val="18"/>
              </w:rPr>
              <w:t>746.05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778.25</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18"/>
                <w:szCs w:val="18"/>
              </w:rPr>
              <w:t>802.98</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802.98</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6"/>
        <w:tblW w:w="9204" w:type="dxa"/>
        <w:jc w:val="center"/>
        <w:tblInd w:w="0" w:type="dxa"/>
        <w:tblLayout w:type="fixed"/>
        <w:tblCellMar>
          <w:top w:w="0" w:type="dxa"/>
          <w:left w:w="0" w:type="dxa"/>
          <w:bottom w:w="0" w:type="dxa"/>
          <w:right w:w="0" w:type="dxa"/>
        </w:tblCellMar>
      </w:tblPr>
      <w:tblGrid>
        <w:gridCol w:w="335"/>
        <w:gridCol w:w="179"/>
        <w:gridCol w:w="520"/>
        <w:gridCol w:w="1851"/>
        <w:gridCol w:w="260"/>
        <w:gridCol w:w="94"/>
        <w:gridCol w:w="50"/>
        <w:gridCol w:w="260"/>
        <w:gridCol w:w="459"/>
        <w:gridCol w:w="356"/>
        <w:gridCol w:w="636"/>
        <w:gridCol w:w="180"/>
        <w:gridCol w:w="327"/>
        <w:gridCol w:w="84"/>
        <w:gridCol w:w="404"/>
        <w:gridCol w:w="38"/>
        <w:gridCol w:w="373"/>
        <w:gridCol w:w="404"/>
        <w:gridCol w:w="144"/>
        <w:gridCol w:w="920"/>
        <w:gridCol w:w="926"/>
        <w:gridCol w:w="404"/>
      </w:tblGrid>
      <w:tr>
        <w:tblPrEx>
          <w:tblLayout w:type="fixed"/>
          <w:tblCellMar>
            <w:top w:w="0" w:type="dxa"/>
            <w:left w:w="0" w:type="dxa"/>
            <w:bottom w:w="0" w:type="dxa"/>
            <w:right w:w="0" w:type="dxa"/>
          </w:tblCellMar>
        </w:tblPrEx>
        <w:trPr>
          <w:gridAfter w:val="1"/>
          <w:wAfter w:w="404" w:type="dxa"/>
          <w:trHeight w:val="770" w:hRule="atLeast"/>
          <w:jc w:val="center"/>
        </w:trPr>
        <w:tc>
          <w:tcPr>
            <w:tcW w:w="8800" w:type="dxa"/>
            <w:gridSpan w:val="21"/>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20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Layout w:type="fixed"/>
          <w:tblCellMar>
            <w:top w:w="0" w:type="dxa"/>
            <w:left w:w="0" w:type="dxa"/>
            <w:bottom w:w="0" w:type="dxa"/>
            <w:right w:w="0" w:type="dxa"/>
          </w:tblCellMar>
        </w:tblPrEx>
        <w:trPr>
          <w:gridAfter w:val="1"/>
          <w:wAfter w:w="404" w:type="dxa"/>
          <w:trHeight w:val="362" w:hRule="atLeast"/>
          <w:jc w:val="center"/>
        </w:trPr>
        <w:tc>
          <w:tcPr>
            <w:tcW w:w="2885" w:type="dxa"/>
            <w:gridSpan w:val="4"/>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香河县统计局</w:t>
            </w: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63"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91"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gridAfter w:val="1"/>
          <w:wAfter w:w="404" w:type="dxa"/>
          <w:trHeight w:val="325" w:hRule="atLeast"/>
          <w:jc w:val="center"/>
        </w:trPr>
        <w:tc>
          <w:tcPr>
            <w:tcW w:w="3239" w:type="dxa"/>
            <w:gridSpan w:val="6"/>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769"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992"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507"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526"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gridAfter w:val="1"/>
          <w:wAfter w:w="404" w:type="dxa"/>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2205" w:type="dxa"/>
            <w:gridSpan w:val="3"/>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769"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992"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507"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526"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Layout w:type="fixed"/>
          <w:tblCellMar>
            <w:top w:w="0" w:type="dxa"/>
            <w:left w:w="0" w:type="dxa"/>
            <w:bottom w:w="0" w:type="dxa"/>
            <w:right w:w="0" w:type="dxa"/>
          </w:tblCellMar>
        </w:tblPrEx>
        <w:trPr>
          <w:gridAfter w:val="1"/>
          <w:wAfter w:w="404" w:type="dxa"/>
          <w:trHeight w:val="391" w:hRule="atLeast"/>
          <w:jc w:val="center"/>
        </w:trPr>
        <w:tc>
          <w:tcPr>
            <w:tcW w:w="3239"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76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5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5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Layout w:type="fixed"/>
          <w:tblCellMar>
            <w:top w:w="0" w:type="dxa"/>
            <w:left w:w="0" w:type="dxa"/>
            <w:bottom w:w="0" w:type="dxa"/>
            <w:right w:w="0" w:type="dxa"/>
          </w:tblCellMar>
        </w:tblPrEx>
        <w:trPr>
          <w:gridAfter w:val="1"/>
          <w:wAfter w:w="404" w:type="dxa"/>
          <w:trHeight w:val="90" w:hRule="atLeast"/>
          <w:jc w:val="center"/>
        </w:trPr>
        <w:tc>
          <w:tcPr>
            <w:tcW w:w="3239"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76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92"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507"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526"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606.14</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592.54</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13.6</w:t>
            </w: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统计信息事务</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596.14</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592.54</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3.6</w:t>
            </w: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2010501</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463.68</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463.68</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2010505</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专项统计业务</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32.57</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28.97</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3.6</w:t>
            </w: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2010507</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专项普查活动</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46.69</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46.69</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2010508</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统计抽样调查</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53.2</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53.2</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组织事务</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w:t>
            </w: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2013299</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其他组织事务支出</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w:t>
            </w: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95.49</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86.63</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8.86</w:t>
            </w: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86.63</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86.63</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2080505</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机关事业单位基本养老保险缴费支出</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41.57</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41.57</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2080599</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其他行政事业单位离退休支出</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45.06</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45.06</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20807</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就业补助</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8.86</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8.86</w:t>
            </w: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2080705</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公益性岗位补贴</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8.86</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8.86</w:t>
            </w: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医疗卫生与计划生育支出</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21011</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行政事业单位医疗</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2101101</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行政单位医疗</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221</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住房保障支出</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22102</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住房改革支出</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2210201</w:t>
            </w:r>
          </w:p>
        </w:tc>
        <w:tc>
          <w:tcPr>
            <w:tcW w:w="220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住房公积金</w:t>
            </w:r>
          </w:p>
        </w:tc>
        <w:tc>
          <w:tcPr>
            <w:tcW w:w="769"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50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26"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gridAfter w:val="1"/>
          <w:wAfter w:w="404" w:type="dxa"/>
          <w:trHeight w:val="481" w:hRule="atLeast"/>
          <w:jc w:val="center"/>
        </w:trPr>
        <w:tc>
          <w:tcPr>
            <w:tcW w:w="8800" w:type="dxa"/>
            <w:gridSpan w:val="21"/>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6"/>
        <w:tblW w:w="9000" w:type="dxa"/>
        <w:tblInd w:w="0" w:type="dxa"/>
        <w:tblLayout w:type="fixed"/>
        <w:tblCellMar>
          <w:top w:w="0" w:type="dxa"/>
          <w:left w:w="0" w:type="dxa"/>
          <w:bottom w:w="0" w:type="dxa"/>
          <w:right w:w="0" w:type="dxa"/>
        </w:tblCellMar>
      </w:tblPr>
      <w:tblGrid>
        <w:gridCol w:w="290"/>
        <w:gridCol w:w="289"/>
        <w:gridCol w:w="287"/>
        <w:gridCol w:w="516"/>
        <w:gridCol w:w="1468"/>
        <w:gridCol w:w="296"/>
        <w:gridCol w:w="1118"/>
        <w:gridCol w:w="146"/>
        <w:gridCol w:w="974"/>
        <w:gridCol w:w="18"/>
        <w:gridCol w:w="850"/>
        <w:gridCol w:w="250"/>
        <w:gridCol w:w="743"/>
        <w:gridCol w:w="377"/>
        <w:gridCol w:w="190"/>
        <w:gridCol w:w="567"/>
        <w:gridCol w:w="621"/>
      </w:tblGrid>
      <w:tr>
        <w:tblPrEx>
          <w:tblLayout w:type="fixed"/>
          <w:tblCellMar>
            <w:top w:w="0" w:type="dxa"/>
            <w:left w:w="0" w:type="dxa"/>
            <w:bottom w:w="0" w:type="dxa"/>
            <w:right w:w="0" w:type="dxa"/>
          </w:tblCellMar>
        </w:tblPrEx>
        <w:trPr>
          <w:trHeight w:val="798" w:hRule="atLeast"/>
        </w:trPr>
        <w:tc>
          <w:tcPr>
            <w:tcW w:w="9000" w:type="dxa"/>
            <w:gridSpan w:val="17"/>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46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96"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Layout w:type="fixed"/>
          <w:tblCellMar>
            <w:top w:w="0" w:type="dxa"/>
            <w:left w:w="0" w:type="dxa"/>
            <w:bottom w:w="0" w:type="dxa"/>
            <w:right w:w="0" w:type="dxa"/>
          </w:tblCellMar>
        </w:tblPrEx>
        <w:trPr>
          <w:trHeight w:val="380" w:hRule="atLeast"/>
        </w:trPr>
        <w:tc>
          <w:tcPr>
            <w:tcW w:w="3146" w:type="dxa"/>
            <w:gridSpan w:val="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香河县统计局</w:t>
            </w:r>
          </w:p>
        </w:tc>
        <w:tc>
          <w:tcPr>
            <w:tcW w:w="111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5"/>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837" w:hRule="atLeast"/>
        </w:trPr>
        <w:tc>
          <w:tcPr>
            <w:tcW w:w="441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992"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850"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99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567"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567"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621"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Layout w:type="fixed"/>
          <w:tblCellMar>
            <w:top w:w="0" w:type="dxa"/>
            <w:left w:w="0" w:type="dxa"/>
            <w:bottom w:w="0" w:type="dxa"/>
            <w:right w:w="0" w:type="dxa"/>
          </w:tblCellMar>
        </w:tblPrEx>
        <w:trPr>
          <w:trHeight w:val="782" w:hRule="atLeast"/>
        </w:trPr>
        <w:tc>
          <w:tcPr>
            <w:tcW w:w="138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3028"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992"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850"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99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567"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567"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621"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Layout w:type="fixed"/>
          <w:tblCellMar>
            <w:top w:w="0" w:type="dxa"/>
            <w:left w:w="0" w:type="dxa"/>
            <w:bottom w:w="0" w:type="dxa"/>
            <w:right w:w="0" w:type="dxa"/>
          </w:tblCellMar>
        </w:tblPrEx>
        <w:trPr>
          <w:trHeight w:val="395" w:hRule="atLeast"/>
        </w:trPr>
        <w:tc>
          <w:tcPr>
            <w:tcW w:w="441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Layout w:type="fixed"/>
          <w:tblCellMar>
            <w:top w:w="0" w:type="dxa"/>
            <w:left w:w="0" w:type="dxa"/>
            <w:bottom w:w="0" w:type="dxa"/>
            <w:right w:w="0" w:type="dxa"/>
          </w:tblCellMar>
        </w:tblPrEx>
        <w:trPr>
          <w:trHeight w:val="440" w:hRule="atLeast"/>
        </w:trPr>
        <w:tc>
          <w:tcPr>
            <w:tcW w:w="441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r>
              <w:rPr>
                <w:rFonts w:hint="eastAsia" w:ascii="宋体" w:cs="宋体"/>
                <w:b/>
                <w:color w:val="000000"/>
                <w:szCs w:val="21"/>
              </w:rPr>
              <w:t>778.25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r>
              <w:rPr>
                <w:rFonts w:hint="eastAsia" w:ascii="宋体" w:cs="宋体"/>
                <w:b/>
                <w:color w:val="000000"/>
                <w:szCs w:val="21"/>
              </w:rPr>
              <w:t>778.25</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Layout w:type="fixed"/>
          <w:tblCellMar>
            <w:top w:w="0" w:type="dxa"/>
            <w:left w:w="0" w:type="dxa"/>
            <w:bottom w:w="0" w:type="dxa"/>
            <w:right w:w="0" w:type="dxa"/>
          </w:tblCellMar>
        </w:tblPrEx>
        <w:trPr>
          <w:trHeight w:val="429"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w:t>
            </w:r>
            <w:r>
              <w:rPr>
                <w:rFonts w:ascii="宋体" w:cs="宋体"/>
                <w:color w:val="000000"/>
                <w:szCs w:val="21"/>
              </w:rPr>
              <w:t>38.34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w:t>
            </w:r>
            <w:r>
              <w:rPr>
                <w:rFonts w:ascii="宋体" w:cs="宋体"/>
                <w:color w:val="000000"/>
                <w:szCs w:val="21"/>
              </w:rPr>
              <w:t>38.34</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92"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统计信息事务</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w:t>
            </w:r>
            <w:r>
              <w:rPr>
                <w:rFonts w:ascii="宋体" w:cs="宋体"/>
                <w:color w:val="000000"/>
                <w:szCs w:val="21"/>
              </w:rPr>
              <w:t>28.34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w:t>
            </w:r>
            <w:r>
              <w:rPr>
                <w:rFonts w:ascii="宋体" w:cs="宋体"/>
                <w:color w:val="000000"/>
                <w:szCs w:val="21"/>
              </w:rPr>
              <w:t>28.34</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271"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2010501</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w:t>
            </w:r>
            <w:r>
              <w:rPr>
                <w:rFonts w:ascii="宋体" w:cs="宋体"/>
                <w:color w:val="000000"/>
                <w:szCs w:val="21"/>
              </w:rPr>
              <w:t>57.2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w:t>
            </w:r>
            <w:r>
              <w:rPr>
                <w:rFonts w:ascii="宋体" w:cs="宋体"/>
                <w:color w:val="000000"/>
                <w:szCs w:val="21"/>
              </w:rPr>
              <w:t>57.2</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75"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2010505</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专项统计业务</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w:t>
            </w:r>
            <w:r>
              <w:rPr>
                <w:rFonts w:ascii="宋体" w:cs="宋体"/>
                <w:color w:val="000000"/>
                <w:szCs w:val="21"/>
              </w:rPr>
              <w:t>5.98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w:t>
            </w:r>
            <w:r>
              <w:rPr>
                <w:rFonts w:ascii="宋体" w:cs="宋体"/>
                <w:color w:val="000000"/>
                <w:szCs w:val="21"/>
              </w:rPr>
              <w:t>5.98</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10"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2010507</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专项普查活动</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7</w:t>
            </w:r>
            <w:r>
              <w:rPr>
                <w:rFonts w:ascii="宋体" w:cs="宋体"/>
                <w:color w:val="000000"/>
                <w:szCs w:val="21"/>
              </w:rPr>
              <w:t>1.01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7</w:t>
            </w:r>
            <w:r>
              <w:rPr>
                <w:rFonts w:ascii="宋体" w:cs="宋体"/>
                <w:color w:val="000000"/>
                <w:szCs w:val="21"/>
              </w:rPr>
              <w:t>1.01</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402"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2010508</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统计抽样调查</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w:t>
            </w:r>
            <w:r>
              <w:rPr>
                <w:rFonts w:ascii="宋体" w:cs="宋体"/>
                <w:color w:val="000000"/>
                <w:szCs w:val="21"/>
              </w:rPr>
              <w:t>4.15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w:t>
            </w:r>
            <w:r>
              <w:rPr>
                <w:rFonts w:ascii="宋体" w:cs="宋体"/>
                <w:color w:val="000000"/>
                <w:szCs w:val="21"/>
              </w:rPr>
              <w:t>4.15</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221"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组织事务</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275"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2013299</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其他组织事务支出</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287"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95.49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95.49</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234"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86.63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86.63</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39"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2080505</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机关事业单位基本养老保险缴费支出</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41.57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41.57</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273"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2080599</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其他行政事业单位离退休支出</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45.06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45.06</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235"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20807</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就业补助</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8.86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8.86</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183"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2080705</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公益性岗位补贴</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8.86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8.86</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273"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医疗卫生与计划生育支出</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468"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21011</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行政事业单位医疗</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468"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2101101</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行政单位医疗</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468"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221</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住房保障支出</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468"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22102</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住房改革支出</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468" w:hRule="atLeast"/>
        </w:trPr>
        <w:tc>
          <w:tcPr>
            <w:tcW w:w="8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2210201</w:t>
            </w:r>
          </w:p>
        </w:tc>
        <w:tc>
          <w:tcPr>
            <w:tcW w:w="354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住房公积金</w:t>
            </w:r>
          </w:p>
        </w:tc>
        <w:tc>
          <w:tcPr>
            <w:tcW w:w="99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9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62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748" w:hRule="atLeast"/>
        </w:trPr>
        <w:tc>
          <w:tcPr>
            <w:tcW w:w="9000" w:type="dxa"/>
            <w:gridSpan w:val="1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6"/>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香河县统计局</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723.58</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611.33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611.33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86.63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86.63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16.59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16.59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27.83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27.83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723.58</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742.38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742.38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32.72</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13.93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13.93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32.72</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756.3</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756.3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756.3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6"/>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Layout w:type="fixed"/>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Layout w:type="fixed"/>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香河县统计局</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r>
              <w:rPr>
                <w:rFonts w:hint="eastAsia" w:ascii="宋体" w:cs="宋体"/>
                <w:b/>
                <w:color w:val="000000"/>
                <w:szCs w:val="21"/>
              </w:rPr>
              <w:t>7</w:t>
            </w:r>
            <w:r>
              <w:rPr>
                <w:rFonts w:ascii="宋体" w:cs="宋体"/>
                <w:b/>
                <w:color w:val="000000"/>
                <w:szCs w:val="21"/>
              </w:rPr>
              <w:t>42.38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r>
              <w:rPr>
                <w:rFonts w:hint="eastAsia" w:ascii="宋体" w:cs="宋体"/>
                <w:b/>
                <w:color w:val="000000"/>
                <w:szCs w:val="21"/>
              </w:rPr>
              <w:t>7</w:t>
            </w:r>
            <w:r>
              <w:rPr>
                <w:rFonts w:ascii="宋体" w:cs="宋体"/>
                <w:b/>
                <w:color w:val="000000"/>
                <w:szCs w:val="21"/>
              </w:rPr>
              <w:t>42.38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w:t>
            </w:r>
            <w:r>
              <w:rPr>
                <w:rFonts w:ascii="宋体" w:cs="宋体"/>
                <w:color w:val="000000"/>
                <w:szCs w:val="21"/>
              </w:rPr>
              <w:t>11.33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w:t>
            </w:r>
            <w:r>
              <w:rPr>
                <w:rFonts w:ascii="宋体" w:cs="宋体"/>
                <w:color w:val="000000"/>
                <w:szCs w:val="21"/>
              </w:rPr>
              <w:t>11.33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统计信息事务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w:t>
            </w:r>
            <w:r>
              <w:rPr>
                <w:rFonts w:ascii="宋体" w:cs="宋体"/>
                <w:color w:val="000000"/>
                <w:szCs w:val="21"/>
              </w:rPr>
              <w:t>11.33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w:t>
            </w:r>
            <w:r>
              <w:rPr>
                <w:rFonts w:ascii="宋体" w:cs="宋体"/>
                <w:color w:val="000000"/>
                <w:szCs w:val="21"/>
              </w:rPr>
              <w:t>11.33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w:t>
            </w:r>
            <w:r>
              <w:rPr>
                <w:rFonts w:ascii="宋体" w:cs="宋体"/>
                <w:color w:val="000000"/>
                <w:szCs w:val="21"/>
              </w:rPr>
              <w:t>57.2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w:t>
            </w:r>
            <w:r>
              <w:rPr>
                <w:rFonts w:ascii="宋体" w:cs="宋体"/>
                <w:color w:val="000000"/>
                <w:szCs w:val="21"/>
              </w:rPr>
              <w:t>57.2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专项统计业务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w:t>
            </w:r>
            <w:r>
              <w:rPr>
                <w:rFonts w:ascii="宋体" w:cs="宋体"/>
                <w:color w:val="000000"/>
                <w:szCs w:val="21"/>
              </w:rPr>
              <w:t>8.97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w:t>
            </w:r>
            <w:r>
              <w:rPr>
                <w:rFonts w:ascii="宋体" w:cs="宋体"/>
                <w:color w:val="000000"/>
                <w:szCs w:val="21"/>
              </w:rPr>
              <w:t>8.97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2010507</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专项普查活动</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7</w:t>
            </w:r>
            <w:r>
              <w:rPr>
                <w:rFonts w:ascii="宋体" w:cs="宋体"/>
                <w:color w:val="000000"/>
                <w:szCs w:val="21"/>
              </w:rPr>
              <w:t>1.01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7</w:t>
            </w:r>
            <w:r>
              <w:rPr>
                <w:rFonts w:ascii="宋体" w:cs="宋体"/>
                <w:color w:val="000000"/>
                <w:szCs w:val="21"/>
              </w:rPr>
              <w:t>1.01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2010508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统计抽样调查</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w:t>
            </w:r>
            <w:r>
              <w:rPr>
                <w:rFonts w:ascii="宋体" w:cs="宋体"/>
                <w:color w:val="000000"/>
                <w:szCs w:val="21"/>
              </w:rPr>
              <w:t>4.15</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5</w:t>
            </w:r>
            <w:r>
              <w:rPr>
                <w:rFonts w:ascii="宋体" w:cs="宋体"/>
                <w:color w:val="000000"/>
                <w:szCs w:val="21"/>
              </w:rPr>
              <w:t>4.15</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w:t>
            </w:r>
            <w:r>
              <w:rPr>
                <w:rFonts w:ascii="宋体" w:cs="宋体"/>
                <w:color w:val="000000"/>
                <w:szCs w:val="21"/>
              </w:rPr>
              <w:t>6.63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w:t>
            </w:r>
            <w:r>
              <w:rPr>
                <w:rFonts w:ascii="宋体" w:cs="宋体"/>
                <w:color w:val="000000"/>
                <w:szCs w:val="21"/>
              </w:rPr>
              <w:t>6.63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86.63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86.63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41.57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41.57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其他行政事业单位离退休支出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45.06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45.06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医疗卫生与计划生育支出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2101101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16.59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221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住房保障支出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22102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2210201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住房公积金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27.83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Layout w:type="fixed"/>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6"/>
        <w:tblW w:w="9180" w:type="dxa"/>
        <w:jc w:val="center"/>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 w:val="20"/>
                <w:szCs w:val="20"/>
                <w:lang w:val="en-US" w:eastAsia="zh-CN"/>
              </w:rPr>
              <w:t>香河县统计局</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469.83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211.77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116.52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20.53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129.84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60.44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9.9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r>
              <w:rPr>
                <w:rFonts w:hint="eastAsia" w:ascii="宋体" w:cs="宋体"/>
                <w:color w:val="000000"/>
                <w:sz w:val="20"/>
                <w:szCs w:val="20"/>
              </w:rPr>
              <w:t>15.73</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0.5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r>
              <w:rPr>
                <w:rFonts w:hint="eastAsia" w:ascii="宋体" w:cs="宋体"/>
                <w:color w:val="000000"/>
                <w:sz w:val="20"/>
                <w:szCs w:val="20"/>
              </w:rPr>
              <w:t>15.73</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41.57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3.5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28.53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16.59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10.71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1.15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4.65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27.83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0.45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126.43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45.16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45.06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0.53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54.82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0.68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5.32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1.83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19.29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514.88</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227.49</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6"/>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香河县统计局</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2.73</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2.2</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2.2</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0.53</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2.36</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1.83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1.83</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0.53</w:t>
            </w: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6"/>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香河县统计局</w:t>
            </w: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本部门2018年度国有资本经营预算财政拨款收入支出决算表无收支情况，故此表以空表列示。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6"/>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0"/>
                <w:szCs w:val="20"/>
                <w:lang w:val="en-US" w:eastAsia="zh-CN"/>
              </w:rPr>
              <w:t>香河县统计局</w:t>
            </w: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Cs w:val="21"/>
              </w:rPr>
              <w:t>本部门2018年度国有资本经营预算财政拨款收入支出决算表无收支情况，故此表以空表列示。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6"/>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w:t>
            </w:r>
            <w:r>
              <w:rPr>
                <w:rFonts w:hint="eastAsia" w:ascii="宋体" w:hAnsi="宋体" w:cs="宋体"/>
                <w:color w:val="000000"/>
                <w:kern w:val="0"/>
                <w:sz w:val="20"/>
                <w:szCs w:val="20"/>
                <w:lang w:val="en-US" w:eastAsia="zh-CN"/>
              </w:rPr>
              <w:t>香河县统计局</w:t>
            </w:r>
            <w:bookmarkStart w:id="0" w:name="_GoBack"/>
            <w:bookmarkEnd w:id="0"/>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本部门2018年度国有资本经营预算财政拨款收入支出决算表无收支情况，故此表以空表列示。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年度收入总计（含结转和结余）</w:t>
      </w:r>
      <w:r>
        <w:rPr>
          <w:rFonts w:ascii="仿宋_GB2312" w:eastAsia="仿宋_GB2312" w:cs="DengXian-Regular"/>
          <w:sz w:val="32"/>
          <w:szCs w:val="32"/>
        </w:rPr>
        <w:t>802.97</w:t>
      </w:r>
      <w:r>
        <w:rPr>
          <w:rFonts w:hint="eastAsia" w:ascii="仿宋_GB2312" w:eastAsia="仿宋_GB2312" w:cs="DengXian-Regular"/>
          <w:sz w:val="32"/>
          <w:szCs w:val="32"/>
        </w:rPr>
        <w:t>万元，支出总计</w:t>
      </w:r>
      <w:r>
        <w:rPr>
          <w:rFonts w:ascii="仿宋_GB2312" w:eastAsia="仿宋_GB2312" w:cs="DengXian-Regular"/>
          <w:sz w:val="32"/>
          <w:szCs w:val="32"/>
        </w:rPr>
        <w:t>778.24</w:t>
      </w:r>
      <w:r>
        <w:rPr>
          <w:rFonts w:hint="eastAsia" w:ascii="仿宋_GB2312" w:eastAsia="仿宋_GB2312" w:cs="DengXian-Regular"/>
          <w:sz w:val="32"/>
          <w:szCs w:val="32"/>
        </w:rPr>
        <w:t>万元。</w:t>
      </w:r>
      <w:r>
        <w:rPr>
          <w:rFonts w:ascii="仿宋" w:hAnsi="仿宋" w:eastAsia="仿宋"/>
          <w:sz w:val="32"/>
          <w:szCs w:val="32"/>
        </w:rPr>
        <w:t>与201</w:t>
      </w:r>
      <w:r>
        <w:rPr>
          <w:rFonts w:hint="eastAsia" w:ascii="仿宋" w:hAnsi="仿宋" w:eastAsia="仿宋"/>
          <w:sz w:val="32"/>
          <w:szCs w:val="32"/>
        </w:rPr>
        <w:t>7</w:t>
      </w:r>
      <w:r>
        <w:rPr>
          <w:rFonts w:ascii="仿宋" w:hAnsi="仿宋" w:eastAsia="仿宋"/>
          <w:sz w:val="32"/>
          <w:szCs w:val="32"/>
        </w:rPr>
        <w:t>年度决算相比，本年收入增加113.37万元，增长</w:t>
      </w:r>
      <w:r>
        <w:rPr>
          <w:rFonts w:hint="eastAsia" w:ascii="仿宋" w:hAnsi="仿宋" w:eastAsia="仿宋"/>
          <w:sz w:val="32"/>
          <w:szCs w:val="32"/>
        </w:rPr>
        <w:t>13</w:t>
      </w:r>
      <w:r>
        <w:rPr>
          <w:rFonts w:ascii="仿宋" w:hAnsi="仿宋" w:eastAsia="仿宋"/>
          <w:sz w:val="32"/>
          <w:szCs w:val="32"/>
        </w:rPr>
        <w:t>%，主要是</w:t>
      </w:r>
      <w:r>
        <w:rPr>
          <w:rFonts w:hint="eastAsia" w:ascii="仿宋" w:hAnsi="仿宋" w:eastAsia="仿宋"/>
          <w:sz w:val="32"/>
          <w:szCs w:val="32"/>
        </w:rPr>
        <w:t>人员经费和业务费增加，</w:t>
      </w:r>
      <w:r>
        <w:rPr>
          <w:rFonts w:ascii="仿宋" w:hAnsi="仿宋" w:eastAsia="仿宋"/>
          <w:sz w:val="32"/>
          <w:szCs w:val="32"/>
        </w:rPr>
        <w:t>本年支出增加</w:t>
      </w:r>
      <w:r>
        <w:rPr>
          <w:rFonts w:hint="eastAsia" w:ascii="仿宋" w:hAnsi="仿宋" w:eastAsia="仿宋"/>
          <w:sz w:val="32"/>
          <w:szCs w:val="32"/>
        </w:rPr>
        <w:t xml:space="preserve">  </w:t>
      </w:r>
      <w:r>
        <w:rPr>
          <w:rFonts w:ascii="仿宋" w:hAnsi="仿宋" w:eastAsia="仿宋"/>
          <w:sz w:val="32"/>
          <w:szCs w:val="32"/>
        </w:rPr>
        <w:t>126.7万元，增长19%，主要是</w:t>
      </w:r>
      <w:r>
        <w:rPr>
          <w:rFonts w:hint="eastAsia" w:ascii="仿宋" w:hAnsi="仿宋" w:eastAsia="仿宋"/>
          <w:sz w:val="32"/>
          <w:szCs w:val="32"/>
        </w:rPr>
        <w:t>人员和业务费支出增加。</w:t>
      </w:r>
      <w:r>
        <w:rPr>
          <w:rFonts w:ascii="仿宋_GB2312" w:eastAsia="仿宋_GB2312" w:cs="DengXian-Regular"/>
          <w:sz w:val="32"/>
          <w:szCs w:val="32"/>
        </w:rPr>
        <w:t xml:space="preserve"> </w:t>
      </w: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黑体" w:hAnsi="Calibri" w:eastAsia="黑体"/>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746.04</w:t>
      </w:r>
      <w:r>
        <w:rPr>
          <w:rFonts w:hint="eastAsia" w:ascii="仿宋_GB2312" w:eastAsia="仿宋_GB2312" w:cs="DengXian-Regular"/>
          <w:sz w:val="32"/>
          <w:szCs w:val="32"/>
        </w:rPr>
        <w:t>万元，其中：财政拨款收入</w:t>
      </w:r>
      <w:r>
        <w:rPr>
          <w:rFonts w:ascii="仿宋_GB2312" w:eastAsia="仿宋_GB2312" w:cs="DengXian-Regular"/>
          <w:sz w:val="32"/>
          <w:szCs w:val="32"/>
        </w:rPr>
        <w:t>723.58</w:t>
      </w:r>
      <w:r>
        <w:rPr>
          <w:rFonts w:hint="eastAsia" w:ascii="仿宋_GB2312" w:eastAsia="仿宋_GB2312" w:cs="DengXian-Regular"/>
          <w:sz w:val="32"/>
          <w:szCs w:val="32"/>
        </w:rPr>
        <w:t>万元，占</w:t>
      </w:r>
      <w:r>
        <w:rPr>
          <w:rFonts w:ascii="仿宋_GB2312" w:eastAsia="仿宋_GB2312" w:cs="DengXian-Regular"/>
          <w:sz w:val="32"/>
          <w:szCs w:val="32"/>
        </w:rPr>
        <w:t>97%</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22.46</w:t>
      </w:r>
      <w:r>
        <w:rPr>
          <w:rFonts w:hint="eastAsia" w:ascii="仿宋_GB2312" w:eastAsia="仿宋_GB2312" w:cs="DengXian-Regular"/>
          <w:sz w:val="32"/>
          <w:szCs w:val="32"/>
        </w:rPr>
        <w:t>万元，占</w:t>
      </w:r>
      <w:r>
        <w:rPr>
          <w:rFonts w:ascii="仿宋_GB2312" w:eastAsia="仿宋_GB2312" w:cs="DengXian-Regular"/>
          <w:sz w:val="32"/>
          <w:szCs w:val="32"/>
        </w:rPr>
        <w:t>0.3%</w:t>
      </w:r>
      <w:r>
        <w:rPr>
          <w:rFonts w:hint="eastAsia" w:ascii="仿宋_GB2312" w:eastAsia="仿宋_GB2312" w:cs="DengXian-Regular"/>
          <w:sz w:val="32"/>
          <w:szCs w:val="32"/>
        </w:rPr>
        <w:t>。</w:t>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778.24</w:t>
      </w:r>
      <w:r>
        <w:rPr>
          <w:rFonts w:hint="eastAsia" w:ascii="仿宋_GB2312" w:eastAsia="仿宋_GB2312" w:cs="DengXian-Regular"/>
          <w:sz w:val="32"/>
          <w:szCs w:val="32"/>
        </w:rPr>
        <w:t>万元，其中：基本支出</w:t>
      </w:r>
      <w:r>
        <w:rPr>
          <w:rFonts w:ascii="仿宋_GB2312" w:eastAsia="仿宋_GB2312" w:cs="DengXian-Regular"/>
          <w:sz w:val="32"/>
          <w:szCs w:val="32"/>
        </w:rPr>
        <w:t>638.3</w:t>
      </w:r>
      <w:r>
        <w:rPr>
          <w:rFonts w:hint="eastAsia" w:ascii="仿宋_GB2312" w:eastAsia="仿宋_GB2312" w:cs="DengXian-Regular"/>
          <w:sz w:val="32"/>
          <w:szCs w:val="32"/>
        </w:rPr>
        <w:t>万元，占</w:t>
      </w:r>
      <w:r>
        <w:rPr>
          <w:rFonts w:ascii="仿宋_GB2312" w:eastAsia="仿宋_GB2312" w:cs="DengXian-Regular"/>
          <w:sz w:val="32"/>
          <w:szCs w:val="32"/>
        </w:rPr>
        <w:t>82%</w:t>
      </w:r>
      <w:r>
        <w:rPr>
          <w:rFonts w:hint="eastAsia" w:ascii="仿宋_GB2312" w:eastAsia="仿宋_GB2312" w:cs="DengXian-Regular"/>
          <w:sz w:val="32"/>
          <w:szCs w:val="32"/>
        </w:rPr>
        <w:t>；项目支出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723.58</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年度增加6</w:t>
      </w:r>
      <w:r>
        <w:rPr>
          <w:rFonts w:ascii="仿宋_GB2312" w:eastAsia="仿宋_GB2312" w:cs="DengXian-Regular"/>
          <w:sz w:val="32"/>
          <w:szCs w:val="32"/>
        </w:rPr>
        <w:t>2.84</w:t>
      </w:r>
      <w:r>
        <w:rPr>
          <w:rFonts w:hint="eastAsia" w:ascii="仿宋_GB2312" w:eastAsia="仿宋_GB2312" w:cs="DengXian-Regular"/>
          <w:sz w:val="32"/>
          <w:szCs w:val="32"/>
        </w:rPr>
        <w:t>万元，增长9.5</w:t>
      </w:r>
      <w:r>
        <w:rPr>
          <w:rFonts w:ascii="仿宋_GB2312" w:eastAsia="仿宋_GB2312" w:cs="DengXian-Regular"/>
          <w:sz w:val="32"/>
          <w:szCs w:val="32"/>
        </w:rPr>
        <w:t>%</w:t>
      </w:r>
      <w:r>
        <w:rPr>
          <w:rFonts w:hint="eastAsia" w:ascii="仿宋_GB2312" w:eastAsia="仿宋_GB2312" w:cs="DengXian-Regular"/>
          <w:sz w:val="32"/>
          <w:szCs w:val="32"/>
        </w:rPr>
        <w:t xml:space="preserve">， </w:t>
      </w:r>
      <w:r>
        <w:rPr>
          <w:rFonts w:ascii="仿宋" w:hAnsi="仿宋" w:eastAsia="仿宋"/>
          <w:sz w:val="32"/>
          <w:szCs w:val="32"/>
        </w:rPr>
        <w:t>主要是</w:t>
      </w:r>
      <w:r>
        <w:rPr>
          <w:rFonts w:hint="eastAsia" w:ascii="仿宋" w:hAnsi="仿宋" w:eastAsia="仿宋"/>
          <w:sz w:val="32"/>
          <w:szCs w:val="32"/>
        </w:rPr>
        <w:t>人员经费和业务费增加</w:t>
      </w:r>
      <w:r>
        <w:rPr>
          <w:rFonts w:hint="eastAsia" w:ascii="仿宋_GB2312" w:eastAsia="仿宋_GB2312" w:cs="DengXian-Regular"/>
          <w:sz w:val="32"/>
          <w:szCs w:val="32"/>
        </w:rPr>
        <w:t xml:space="preserve"> ；本年支出</w:t>
      </w:r>
      <w:r>
        <w:rPr>
          <w:rFonts w:ascii="仿宋_GB2312" w:eastAsia="仿宋_GB2312" w:cs="DengXian-Regular"/>
          <w:sz w:val="32"/>
          <w:szCs w:val="32"/>
        </w:rPr>
        <w:t>742.37</w:t>
      </w:r>
      <w:r>
        <w:rPr>
          <w:rFonts w:hint="eastAsia" w:ascii="仿宋_GB2312" w:eastAsia="仿宋_GB2312" w:cs="DengXian-Regular"/>
          <w:sz w:val="32"/>
          <w:szCs w:val="32"/>
        </w:rPr>
        <w:t>万元，增加</w:t>
      </w:r>
      <w:r>
        <w:rPr>
          <w:rFonts w:ascii="仿宋_GB2312" w:eastAsia="仿宋_GB2312" w:cs="DengXian-Regular"/>
          <w:sz w:val="32"/>
          <w:szCs w:val="32"/>
        </w:rPr>
        <w:t>108.11</w:t>
      </w:r>
      <w:r>
        <w:rPr>
          <w:rFonts w:hint="eastAsia" w:ascii="仿宋_GB2312" w:eastAsia="仿宋_GB2312" w:cs="DengXian-Regular"/>
          <w:sz w:val="32"/>
          <w:szCs w:val="32"/>
        </w:rPr>
        <w:t>万元，增长</w:t>
      </w:r>
      <w:r>
        <w:rPr>
          <w:rFonts w:ascii="仿宋_GB2312" w:eastAsia="仿宋_GB2312" w:cs="DengXian-Regular"/>
          <w:sz w:val="32"/>
          <w:szCs w:val="32"/>
        </w:rPr>
        <w:t>17%</w:t>
      </w:r>
      <w:r>
        <w:rPr>
          <w:rFonts w:hint="eastAsia" w:ascii="仿宋_GB2312" w:eastAsia="仿宋_GB2312" w:cs="DengXian-Regular"/>
          <w:sz w:val="32"/>
          <w:szCs w:val="32"/>
        </w:rPr>
        <w:t>，</w:t>
      </w:r>
      <w:r>
        <w:rPr>
          <w:rFonts w:ascii="仿宋" w:hAnsi="仿宋" w:eastAsia="仿宋"/>
          <w:sz w:val="32"/>
          <w:szCs w:val="32"/>
        </w:rPr>
        <w:t>主要是</w:t>
      </w:r>
      <w:r>
        <w:rPr>
          <w:rFonts w:hint="eastAsia" w:ascii="仿宋" w:hAnsi="仿宋" w:eastAsia="仿宋"/>
          <w:sz w:val="32"/>
          <w:szCs w:val="32"/>
        </w:rPr>
        <w:t>人员经费和业务费支出增加。</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723.58</w:t>
      </w:r>
      <w:r>
        <w:rPr>
          <w:rFonts w:hint="eastAsia" w:ascii="仿宋_GB2312" w:eastAsia="仿宋_GB2312" w:cs="DengXian-Regular"/>
          <w:sz w:val="32"/>
          <w:szCs w:val="32"/>
        </w:rPr>
        <w:t>万元，完成年初预算的</w:t>
      </w:r>
      <w:r>
        <w:rPr>
          <w:rFonts w:ascii="仿宋_GB2312" w:eastAsia="仿宋_GB2312" w:cs="DengXian-Regular"/>
          <w:sz w:val="32"/>
          <w:szCs w:val="32"/>
        </w:rPr>
        <w:t>99%,</w:t>
      </w:r>
      <w:r>
        <w:rPr>
          <w:rFonts w:hint="eastAsia" w:ascii="仿宋_GB2312" w:eastAsia="仿宋_GB2312" w:cs="DengXian-Regular"/>
          <w:sz w:val="32"/>
          <w:szCs w:val="32"/>
        </w:rPr>
        <w:t>比年初预算减少5</w:t>
      </w:r>
      <w:r>
        <w:rPr>
          <w:rFonts w:ascii="仿宋_GB2312" w:eastAsia="仿宋_GB2312" w:cs="DengXian-Regular"/>
          <w:sz w:val="32"/>
          <w:szCs w:val="32"/>
        </w:rPr>
        <w:t>.22</w:t>
      </w:r>
      <w:r>
        <w:rPr>
          <w:rFonts w:hint="eastAsia" w:ascii="仿宋_GB2312" w:eastAsia="仿宋_GB2312" w:cs="DengXian-Regular"/>
          <w:sz w:val="32"/>
          <w:szCs w:val="32"/>
        </w:rPr>
        <w:t>万元，决算数小于预算数主要是；本年支出</w:t>
      </w:r>
      <w:r>
        <w:rPr>
          <w:rFonts w:ascii="仿宋_GB2312" w:eastAsia="仿宋_GB2312" w:cs="DengXian-Regular"/>
          <w:sz w:val="32"/>
          <w:szCs w:val="32"/>
        </w:rPr>
        <w:t>778.24</w:t>
      </w:r>
      <w:r>
        <w:rPr>
          <w:rFonts w:hint="eastAsia" w:ascii="仿宋_GB2312" w:eastAsia="仿宋_GB2312" w:cs="DengXian-Regular"/>
          <w:sz w:val="32"/>
          <w:szCs w:val="32"/>
        </w:rPr>
        <w:t>万元，完成年初预算的</w:t>
      </w:r>
      <w:r>
        <w:rPr>
          <w:rFonts w:ascii="仿宋_GB2312" w:eastAsia="仿宋_GB2312" w:cs="DengXian-Regular"/>
          <w:sz w:val="32"/>
          <w:szCs w:val="32"/>
        </w:rPr>
        <w:t>106.7%,</w:t>
      </w:r>
      <w:r>
        <w:rPr>
          <w:rFonts w:hint="eastAsia" w:ascii="仿宋_GB2312" w:eastAsia="仿宋_GB2312" w:cs="DengXian-Regular"/>
          <w:sz w:val="32"/>
          <w:szCs w:val="32"/>
        </w:rPr>
        <w:t>比年初预算增加4</w:t>
      </w:r>
      <w:r>
        <w:rPr>
          <w:rFonts w:ascii="仿宋_GB2312" w:eastAsia="仿宋_GB2312" w:cs="DengXian-Regular"/>
          <w:sz w:val="32"/>
          <w:szCs w:val="32"/>
        </w:rPr>
        <w:t>9.44</w:t>
      </w:r>
      <w:r>
        <w:rPr>
          <w:rFonts w:hint="eastAsia" w:ascii="仿宋_GB2312" w:eastAsia="仿宋_GB2312" w:cs="DengXian-Regular"/>
          <w:sz w:val="32"/>
          <w:szCs w:val="32"/>
        </w:rPr>
        <w:t>万元，决算数大于预算数主要是人员经费支出增加。</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742.37</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611.33</w:t>
      </w:r>
      <w:r>
        <w:rPr>
          <w:rFonts w:hint="eastAsia" w:ascii="仿宋_GB2312" w:eastAsia="仿宋_GB2312" w:cs="DengXian-Regular"/>
          <w:sz w:val="32"/>
          <w:szCs w:val="32"/>
        </w:rPr>
        <w:t>万元，占</w:t>
      </w:r>
      <w:r>
        <w:rPr>
          <w:rFonts w:ascii="仿宋_GB2312" w:eastAsia="仿宋_GB2312" w:cs="DengXian-Regular"/>
          <w:sz w:val="32"/>
          <w:szCs w:val="32"/>
        </w:rPr>
        <w:t>82.3%</w:t>
      </w:r>
      <w:r>
        <w:rPr>
          <w:rFonts w:hint="eastAsia" w:ascii="仿宋_GB2312" w:eastAsia="仿宋_GB2312" w:cs="DengXian-Regular"/>
          <w:sz w:val="32"/>
          <w:szCs w:val="32"/>
        </w:rPr>
        <w:t>；医疗卫生与计划生育（类）支出</w:t>
      </w:r>
      <w:r>
        <w:rPr>
          <w:rFonts w:ascii="仿宋_GB2312" w:eastAsia="仿宋_GB2312" w:cs="DengXian-Regular"/>
          <w:sz w:val="32"/>
          <w:szCs w:val="32"/>
        </w:rPr>
        <w:t>16.59</w:t>
      </w:r>
      <w:r>
        <w:rPr>
          <w:rFonts w:hint="eastAsia" w:ascii="仿宋_GB2312" w:eastAsia="仿宋_GB2312" w:cs="DengXian-Regular"/>
          <w:sz w:val="32"/>
          <w:szCs w:val="32"/>
        </w:rPr>
        <w:t>万元，占</w:t>
      </w:r>
      <w:r>
        <w:rPr>
          <w:rFonts w:ascii="仿宋_GB2312" w:eastAsia="仿宋_GB2312" w:cs="DengXian-Regular"/>
          <w:sz w:val="32"/>
          <w:szCs w:val="32"/>
        </w:rPr>
        <w:t xml:space="preserve"> 2.3%</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86.62</w:t>
      </w:r>
      <w:r>
        <w:rPr>
          <w:rFonts w:hint="eastAsia" w:ascii="仿宋_GB2312" w:eastAsia="仿宋_GB2312" w:cs="DengXian-Regular"/>
          <w:sz w:val="32"/>
          <w:szCs w:val="32"/>
        </w:rPr>
        <w:t>万元，占</w:t>
      </w:r>
      <w:r>
        <w:rPr>
          <w:rFonts w:ascii="仿宋_GB2312" w:eastAsia="仿宋_GB2312" w:cs="DengXian-Regular"/>
          <w:sz w:val="32"/>
          <w:szCs w:val="32"/>
        </w:rPr>
        <w:t>11.7%</w:t>
      </w:r>
      <w:r>
        <w:rPr>
          <w:rFonts w:hint="eastAsia" w:ascii="仿宋_GB2312" w:eastAsia="仿宋_GB2312" w:cs="DengXian-Regular"/>
          <w:sz w:val="32"/>
          <w:szCs w:val="32"/>
        </w:rPr>
        <w:t>；住房保障（类）支出</w:t>
      </w:r>
      <w:r>
        <w:rPr>
          <w:rFonts w:ascii="仿宋_GB2312" w:eastAsia="仿宋_GB2312" w:cs="DengXian-Regular"/>
          <w:sz w:val="32"/>
          <w:szCs w:val="32"/>
        </w:rPr>
        <w:t>27.82</w:t>
      </w:r>
      <w:r>
        <w:rPr>
          <w:rFonts w:hint="eastAsia" w:ascii="仿宋_GB2312" w:eastAsia="仿宋_GB2312" w:cs="DengXian-Regular"/>
          <w:sz w:val="32"/>
          <w:szCs w:val="32"/>
        </w:rPr>
        <w:t>万元，占</w:t>
      </w:r>
      <w:r>
        <w:rPr>
          <w:rFonts w:ascii="仿宋_GB2312" w:eastAsia="仿宋_GB2312" w:cs="DengXian-Regular"/>
          <w:sz w:val="32"/>
          <w:szCs w:val="32"/>
        </w:rPr>
        <w:t>3.7%</w:t>
      </w:r>
      <w:r>
        <w:rPr>
          <w:rFonts w:hint="eastAsia" w:ascii="仿宋_GB2312" w:eastAsia="仿宋_GB2312" w:cs="DengXian-Regular"/>
          <w:sz w:val="32"/>
          <w:szCs w:val="32"/>
        </w:rPr>
        <w:t>。</w:t>
      </w: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742.37</w:t>
      </w:r>
      <w:r>
        <w:rPr>
          <w:rFonts w:hint="eastAsia" w:ascii="仿宋_GB2312" w:eastAsia="仿宋_GB2312" w:cs="DengXian-Regular"/>
          <w:sz w:val="32"/>
          <w:szCs w:val="32"/>
        </w:rPr>
        <w:t>万元，其中：人员经费</w:t>
      </w:r>
      <w:r>
        <w:rPr>
          <w:rFonts w:ascii="仿宋_GB2312" w:eastAsia="仿宋_GB2312" w:cs="DengXian-Regular"/>
          <w:sz w:val="32"/>
          <w:szCs w:val="32"/>
        </w:rPr>
        <w:t>469.82</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211.76</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2.35</w:t>
      </w:r>
      <w:r>
        <w:rPr>
          <w:rFonts w:hint="eastAsia" w:eastAsia="仿宋_GB2312"/>
          <w:sz w:val="32"/>
          <w:szCs w:val="32"/>
        </w:rPr>
        <w:t>万元，比年初预算减少0.</w:t>
      </w:r>
      <w:r>
        <w:rPr>
          <w:rFonts w:eastAsia="仿宋_GB2312"/>
          <w:sz w:val="32"/>
          <w:szCs w:val="32"/>
        </w:rPr>
        <w:t>36</w:t>
      </w:r>
      <w:r>
        <w:rPr>
          <w:rFonts w:hint="eastAsia" w:eastAsia="仿宋_GB2312"/>
          <w:sz w:val="32"/>
          <w:szCs w:val="32"/>
        </w:rPr>
        <w:t>万元，减少</w:t>
      </w:r>
      <w:r>
        <w:rPr>
          <w:rFonts w:eastAsia="仿宋_GB2312"/>
          <w:sz w:val="32"/>
          <w:szCs w:val="32"/>
        </w:rPr>
        <w:t>13%</w:t>
      </w:r>
      <w:r>
        <w:rPr>
          <w:rFonts w:hint="eastAsia" w:eastAsia="仿宋_GB2312"/>
          <w:sz w:val="32"/>
          <w:szCs w:val="32"/>
        </w:rPr>
        <w:t>，</w:t>
      </w:r>
      <w:r>
        <w:rPr>
          <w:rFonts w:ascii="仿宋" w:hAnsi="仿宋" w:eastAsia="仿宋"/>
          <w:sz w:val="32"/>
          <w:szCs w:val="32"/>
        </w:rPr>
        <w:t>主要原因是</w:t>
      </w:r>
      <w:r>
        <w:rPr>
          <w:rFonts w:hint="eastAsia" w:ascii="仿宋" w:hAnsi="仿宋" w:eastAsia="仿宋"/>
          <w:sz w:val="32"/>
          <w:szCs w:val="32"/>
        </w:rPr>
        <w:t>公务用车改革后严格控制公务用车使用，费用下降</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年度决算减少0.</w:t>
      </w:r>
      <w:r>
        <w:rPr>
          <w:rFonts w:eastAsia="仿宋_GB2312"/>
          <w:sz w:val="32"/>
          <w:szCs w:val="32"/>
        </w:rPr>
        <w:t>44</w:t>
      </w:r>
      <w:r>
        <w:rPr>
          <w:rFonts w:hint="eastAsia" w:eastAsia="仿宋_GB2312"/>
          <w:sz w:val="32"/>
          <w:szCs w:val="32"/>
        </w:rPr>
        <w:t>万元，减少</w:t>
      </w:r>
      <w:r>
        <w:rPr>
          <w:rFonts w:eastAsia="仿宋_GB2312"/>
          <w:sz w:val="32"/>
          <w:szCs w:val="32"/>
        </w:rPr>
        <w:t>20%</w:t>
      </w:r>
      <w:r>
        <w:rPr>
          <w:rFonts w:hint="eastAsia" w:eastAsia="仿宋_GB2312"/>
          <w:sz w:val="32"/>
          <w:szCs w:val="32"/>
        </w:rPr>
        <w:t>，</w:t>
      </w:r>
      <w:r>
        <w:rPr>
          <w:rFonts w:ascii="仿宋" w:hAnsi="仿宋" w:eastAsia="仿宋"/>
          <w:sz w:val="32"/>
          <w:szCs w:val="32"/>
        </w:rPr>
        <w:t>主要原因是</w:t>
      </w:r>
      <w:r>
        <w:rPr>
          <w:rFonts w:hint="eastAsia" w:ascii="仿宋" w:hAnsi="仿宋" w:eastAsia="仿宋"/>
          <w:sz w:val="32"/>
          <w:szCs w:val="32"/>
        </w:rPr>
        <w:t>公务用车改革后严格控制公务用车使用，费用下降</w:t>
      </w:r>
      <w:r>
        <w:rPr>
          <w:rFonts w:hint="eastAsia" w:eastAsia="仿宋_GB2312"/>
          <w:sz w:val="32"/>
          <w:szCs w:val="32"/>
        </w:rPr>
        <w:t>。具体情况如下：</w:t>
      </w:r>
    </w:p>
    <w:p>
      <w:pPr>
        <w:adjustRightInd w:val="0"/>
        <w:snapToGrid w:val="0"/>
        <w:spacing w:line="584" w:lineRule="exact"/>
        <w:ind w:firstLine="643" w:firstLineChars="200"/>
        <w:rPr>
          <w:rFonts w:ascii="仿宋_GB2312" w:eastAsia="仿宋_GB2312" w:cs="DengXian-Regular"/>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ascii="Times New Roman" w:hAnsi="Times New Roman" w:eastAsia="仿宋_GB2312" w:cs="Times New Roman"/>
          <w:b w:val="0"/>
          <w:bCs w:val="0"/>
          <w:kern w:val="2"/>
          <w:sz w:val="32"/>
          <w:szCs w:val="32"/>
          <w:lang w:val="en-US" w:eastAsia="zh-CN" w:bidi="ar-SA"/>
        </w:rPr>
        <w:t>（本单位2018年度组织出国（境）团组 0个，因公出国（境）人次数 0人）</w:t>
      </w:r>
      <w:r>
        <w:rPr>
          <w:rFonts w:hint="eastAsia" w:eastAsia="仿宋_GB2312"/>
          <w:sz w:val="32"/>
          <w:szCs w:val="32"/>
        </w:rPr>
        <w:t>本部门</w:t>
      </w:r>
      <w:r>
        <w:rPr>
          <w:rFonts w:eastAsia="仿宋_GB2312"/>
          <w:sz w:val="32"/>
          <w:szCs w:val="32"/>
        </w:rPr>
        <w:t>2018</w:t>
      </w:r>
      <w:r>
        <w:rPr>
          <w:rFonts w:hint="eastAsia" w:eastAsia="仿宋_GB2312"/>
          <w:sz w:val="32"/>
          <w:szCs w:val="32"/>
        </w:rPr>
        <w:t>年度无</w:t>
      </w:r>
      <w:r>
        <w:rPr>
          <w:rFonts w:hint="eastAsia" w:ascii="仿宋_GB2312" w:eastAsia="仿宋_GB2312" w:cs="DengXian-Regular"/>
          <w:sz w:val="32"/>
          <w:szCs w:val="32"/>
        </w:rPr>
        <w:t>因公出国支出，</w:t>
      </w:r>
      <w:r>
        <w:rPr>
          <w:rFonts w:hint="eastAsia" w:eastAsia="仿宋_GB2312"/>
          <w:sz w:val="32"/>
          <w:szCs w:val="32"/>
        </w:rPr>
        <w:t>较年初预算无增减变化</w:t>
      </w:r>
      <w:r>
        <w:rPr>
          <w:rFonts w:hint="eastAsia" w:eastAsia="仿宋_GB2312"/>
          <w:sz w:val="32"/>
          <w:szCs w:val="32"/>
          <w:lang w:eastAsia="zh-CN"/>
        </w:rPr>
        <w:t>，</w:t>
      </w:r>
      <w:r>
        <w:rPr>
          <w:rFonts w:hint="eastAsia" w:ascii="Times New Roman" w:hAnsi="Times New Roman" w:eastAsia="仿宋_GB2312" w:cs="Times New Roman"/>
          <w:b w:val="0"/>
          <w:bCs w:val="0"/>
          <w:kern w:val="2"/>
          <w:sz w:val="32"/>
          <w:szCs w:val="32"/>
          <w:lang w:val="en-US" w:eastAsia="zh-CN" w:bidi="ar-SA"/>
        </w:rPr>
        <w:t>与2017年度决算持平，无增减变化。</w:t>
      </w:r>
    </w:p>
    <w:p>
      <w:pPr>
        <w:adjustRightInd w:val="0"/>
        <w:snapToGrid w:val="0"/>
        <w:spacing w:line="584" w:lineRule="exact"/>
        <w:ind w:firstLine="643" w:firstLineChars="200"/>
        <w:rPr>
          <w:rFonts w:ascii="仿宋_GB2312" w:eastAsia="仿宋_GB2312" w:cs="DengXian-Regular"/>
          <w:sz w:val="32"/>
          <w:szCs w:val="32"/>
        </w:rPr>
      </w:pPr>
      <w:r>
        <w:rPr>
          <w:rFonts w:hint="eastAsia" w:eastAsia="楷体_GB2312"/>
          <w:b/>
          <w:bCs/>
          <w:sz w:val="32"/>
          <w:szCs w:val="32"/>
        </w:rPr>
        <w:t>（二）公务用车购置及运行维护费支出</w:t>
      </w:r>
      <w:r>
        <w:rPr>
          <w:rFonts w:eastAsia="楷体_GB2312"/>
          <w:b/>
          <w:bCs/>
          <w:sz w:val="32"/>
          <w:szCs w:val="32"/>
        </w:rPr>
        <w:t>1.83</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减少0.</w:t>
      </w:r>
      <w:r>
        <w:rPr>
          <w:rFonts w:eastAsia="仿宋_GB2312"/>
          <w:sz w:val="32"/>
          <w:szCs w:val="32"/>
        </w:rPr>
        <w:t>36</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16%</w:t>
      </w:r>
      <w:r>
        <w:rPr>
          <w:rFonts w:hint="eastAsia" w:ascii="仿宋" w:hAnsi="仿宋" w:eastAsia="仿宋"/>
          <w:sz w:val="32"/>
          <w:szCs w:val="32"/>
        </w:rPr>
        <w:t>，</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0.44</w:t>
      </w:r>
      <w:r>
        <w:rPr>
          <w:rFonts w:hint="eastAsia" w:eastAsia="仿宋_GB2312"/>
          <w:sz w:val="32"/>
          <w:szCs w:val="32"/>
        </w:rPr>
        <w:t>万元，降低</w:t>
      </w:r>
      <w:r>
        <w:rPr>
          <w:rFonts w:eastAsia="仿宋_GB2312"/>
          <w:sz w:val="32"/>
          <w:szCs w:val="32"/>
        </w:rPr>
        <w:t>20%</w:t>
      </w:r>
      <w:r>
        <w:rPr>
          <w:rFonts w:hint="eastAsia" w:eastAsia="仿宋_GB2312"/>
          <w:sz w:val="32"/>
          <w:szCs w:val="32"/>
        </w:rPr>
        <w:t>，主要</w:t>
      </w:r>
      <w:r>
        <w:rPr>
          <w:rFonts w:ascii="仿宋" w:hAnsi="仿宋" w:eastAsia="仿宋"/>
          <w:sz w:val="32"/>
          <w:szCs w:val="32"/>
        </w:rPr>
        <w:t>是</w:t>
      </w:r>
      <w:r>
        <w:rPr>
          <w:rFonts w:hint="eastAsia" w:ascii="仿宋" w:hAnsi="仿宋" w:eastAsia="仿宋"/>
          <w:sz w:val="32"/>
          <w:szCs w:val="32"/>
        </w:rPr>
        <w:t>公务用车改革后严格控制公务用车使用，费用下降。</w:t>
      </w:r>
    </w:p>
    <w:p>
      <w:pPr>
        <w:adjustRightInd w:val="0"/>
        <w:snapToGrid w:val="0"/>
        <w:spacing w:line="584" w:lineRule="exact"/>
        <w:ind w:firstLine="643" w:firstLineChars="200"/>
        <w:rPr>
          <w:rFonts w:eastAsia="仿宋_GB2312"/>
          <w:b/>
          <w:bCs/>
          <w:sz w:val="32"/>
          <w:szCs w:val="32"/>
        </w:rPr>
      </w:pP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年度无公务用车购置费支出，较年初预算无增减变化</w:t>
      </w:r>
      <w:r>
        <w:rPr>
          <w:rFonts w:hint="eastAsia" w:eastAsia="仿宋_GB2312"/>
          <w:sz w:val="32"/>
          <w:szCs w:val="32"/>
          <w:lang w:eastAsia="zh-CN"/>
        </w:rPr>
        <w:t>，</w:t>
      </w:r>
      <w:r>
        <w:rPr>
          <w:rFonts w:hint="eastAsia" w:ascii="Times New Roman" w:hAnsi="Times New Roman" w:eastAsia="仿宋_GB2312" w:cs="Times New Roman"/>
          <w:b w:val="0"/>
          <w:bCs w:val="0"/>
          <w:kern w:val="2"/>
          <w:sz w:val="32"/>
          <w:szCs w:val="32"/>
          <w:lang w:val="en-US" w:eastAsia="zh-CN" w:bidi="ar-SA"/>
        </w:rPr>
        <w:t>与2017年度决算持平，无增减变化。</w:t>
      </w:r>
    </w:p>
    <w:p>
      <w:pPr>
        <w:adjustRightInd w:val="0"/>
        <w:snapToGrid w:val="0"/>
        <w:spacing w:line="584" w:lineRule="exact"/>
        <w:ind w:firstLine="643" w:firstLineChars="200"/>
        <w:rPr>
          <w:rFonts w:eastAsia="仿宋_GB2312"/>
          <w:sz w:val="32"/>
          <w:szCs w:val="32"/>
        </w:rPr>
      </w:pPr>
      <w:r>
        <w:rPr>
          <w:rFonts w:hint="eastAsia" w:eastAsia="仿宋_GB2312"/>
          <w:b/>
          <w:sz w:val="32"/>
          <w:szCs w:val="32"/>
        </w:rPr>
        <w:t>公务用车运行维护费支出</w:t>
      </w:r>
      <w:r>
        <w:rPr>
          <w:rFonts w:eastAsia="仿宋_GB2312"/>
          <w:b/>
          <w:sz w:val="32"/>
          <w:szCs w:val="32"/>
        </w:rPr>
        <w:t>1.83</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1</w:t>
      </w:r>
      <w:r>
        <w:rPr>
          <w:rFonts w:hint="eastAsia" w:eastAsia="仿宋_GB2312"/>
          <w:sz w:val="32"/>
          <w:szCs w:val="32"/>
        </w:rPr>
        <w:t>辆。公车运行维护费支出比年初预算减少0.</w:t>
      </w:r>
      <w:r>
        <w:rPr>
          <w:rFonts w:eastAsia="仿宋_GB2312"/>
          <w:sz w:val="32"/>
          <w:szCs w:val="32"/>
        </w:rPr>
        <w:t>36</w:t>
      </w:r>
      <w:r>
        <w:rPr>
          <w:rFonts w:hint="eastAsia" w:eastAsia="仿宋_GB2312"/>
          <w:sz w:val="32"/>
          <w:szCs w:val="32"/>
        </w:rPr>
        <w:t>万元，降低</w:t>
      </w:r>
      <w:r>
        <w:rPr>
          <w:rFonts w:eastAsia="仿宋_GB2312"/>
          <w:sz w:val="32"/>
          <w:szCs w:val="32"/>
        </w:rPr>
        <w:t>16%</w:t>
      </w:r>
      <w:r>
        <w:rPr>
          <w:rFonts w:hint="eastAsia" w:ascii="仿宋" w:hAnsi="仿宋" w:eastAsia="仿宋"/>
          <w:sz w:val="32"/>
          <w:szCs w:val="32"/>
        </w:rPr>
        <w:t>，</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0.44</w:t>
      </w:r>
      <w:r>
        <w:rPr>
          <w:rFonts w:hint="eastAsia" w:eastAsia="仿宋_GB2312"/>
          <w:sz w:val="32"/>
          <w:szCs w:val="32"/>
        </w:rPr>
        <w:t>万元，降低</w:t>
      </w:r>
      <w:r>
        <w:rPr>
          <w:rFonts w:eastAsia="仿宋_GB2312"/>
          <w:sz w:val="32"/>
          <w:szCs w:val="32"/>
        </w:rPr>
        <w:t>20%</w:t>
      </w:r>
      <w:r>
        <w:rPr>
          <w:rFonts w:hint="eastAsia" w:eastAsia="仿宋_GB2312"/>
          <w:sz w:val="32"/>
          <w:szCs w:val="32"/>
        </w:rPr>
        <w:t>，</w:t>
      </w:r>
      <w:r>
        <w:rPr>
          <w:rFonts w:ascii="仿宋" w:hAnsi="仿宋" w:eastAsia="仿宋"/>
          <w:sz w:val="32"/>
          <w:szCs w:val="32"/>
        </w:rPr>
        <w:t>主要原因是</w:t>
      </w:r>
      <w:r>
        <w:rPr>
          <w:rFonts w:hint="eastAsia" w:ascii="仿宋" w:hAnsi="仿宋" w:eastAsia="仿宋"/>
          <w:sz w:val="32"/>
          <w:szCs w:val="32"/>
        </w:rPr>
        <w:t>公务用车改革后严格控制公务用车使用，费用下降</w:t>
      </w:r>
      <w:r>
        <w:rPr>
          <w:rFonts w:hint="eastAsia"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（三）公务接待费支出</w:t>
      </w:r>
      <w:r>
        <w:rPr>
          <w:rFonts w:eastAsia="楷体_GB2312"/>
          <w:b/>
          <w:bCs/>
          <w:sz w:val="32"/>
          <w:szCs w:val="32"/>
        </w:rPr>
        <w:t>0.52</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6</w:t>
      </w:r>
      <w:r>
        <w:rPr>
          <w:rFonts w:hint="eastAsia" w:eastAsia="仿宋_GB2312"/>
          <w:sz w:val="32"/>
          <w:szCs w:val="32"/>
        </w:rPr>
        <w:t>批次、</w:t>
      </w:r>
      <w:r>
        <w:rPr>
          <w:rFonts w:eastAsia="仿宋_GB2312"/>
          <w:sz w:val="32"/>
          <w:szCs w:val="32"/>
        </w:rPr>
        <w:t>32</w:t>
      </w:r>
      <w:r>
        <w:rPr>
          <w:rFonts w:hint="eastAsia" w:eastAsia="仿宋_GB2312"/>
          <w:sz w:val="32"/>
          <w:szCs w:val="32"/>
        </w:rPr>
        <w:t>人次</w:t>
      </w:r>
      <w:r>
        <w:rPr>
          <w:rFonts w:hint="eastAsia" w:eastAsia="仿宋_GB2312"/>
          <w:sz w:val="32"/>
          <w:szCs w:val="32"/>
          <w:lang w:eastAsia="zh-CN"/>
        </w:rPr>
        <w:t>，</w:t>
      </w:r>
      <w:r>
        <w:rPr>
          <w:rFonts w:hint="eastAsia" w:ascii="Times New Roman" w:hAnsi="Times New Roman" w:eastAsia="仿宋_GB2312" w:cs="Times New Roman"/>
          <w:b w:val="0"/>
          <w:bCs w:val="0"/>
          <w:kern w:val="2"/>
          <w:sz w:val="32"/>
          <w:szCs w:val="32"/>
          <w:lang w:val="en-US" w:eastAsia="zh-CN" w:bidi="ar-SA"/>
        </w:rPr>
        <w:t>与2017年度决算持平，无增减变化。</w:t>
      </w:r>
      <w:r>
        <w:rPr>
          <w:rFonts w:hint="eastAsia" w:eastAsia="仿宋_GB2312"/>
          <w:sz w:val="32"/>
          <w:szCs w:val="32"/>
        </w:rPr>
        <w:t>公务接待费支出比年初预算无增减变化。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widowControl/>
        <w:spacing w:after="0" w:line="240" w:lineRule="auto"/>
        <w:ind w:firstLine="640" w:firstLineChars="200"/>
        <w:jc w:val="left"/>
        <w:rPr>
          <w:rFonts w:ascii="仿宋" w:hAnsi="仿宋" w:eastAsia="仿宋"/>
          <w:sz w:val="32"/>
          <w:szCs w:val="32"/>
        </w:rPr>
      </w:pPr>
      <w:r>
        <w:rPr>
          <w:rFonts w:hint="eastAsia" w:ascii="仿宋" w:hAnsi="仿宋" w:eastAsia="仿宋"/>
          <w:kern w:val="0"/>
          <w:sz w:val="32"/>
          <w:szCs w:val="32"/>
        </w:rPr>
        <w:t>我部门认真按照《河北省预算绩效管理办法（试行）》、《河北省财政支出绩效评价管理办法》等制度规定，严格评价标准，准确把握绩效评价的内容与方法，确保评价质量。为了提高财政资金使用效益和效率，实现财政资金的规范性、安全性和有效性，按照《河北省人民政府关于深化推进预算绩效管理的意见》遵循“客观公正、公开透明”的原则，积极开展工作。</w:t>
      </w:r>
    </w:p>
    <w:p>
      <w:pPr>
        <w:adjustRightInd w:val="0"/>
        <w:snapToGrid w:val="0"/>
        <w:spacing w:line="584" w:lineRule="exact"/>
        <w:ind w:firstLine="640" w:firstLineChars="200"/>
        <w:rPr>
          <w:rFonts w:ascii="仿宋" w:hAnsi="仿宋" w:eastAsia="仿宋"/>
          <w:sz w:val="32"/>
          <w:szCs w:val="32"/>
        </w:rPr>
      </w:pPr>
      <w:r>
        <w:rPr>
          <w:rFonts w:hint="eastAsia" w:ascii="仿宋" w:hAnsi="仿宋" w:eastAsia="仿宋"/>
          <w:kern w:val="0"/>
          <w:sz w:val="32"/>
          <w:szCs w:val="32"/>
        </w:rPr>
        <w:t>制定绩效管理自评方案，进一步明确了评价工作的指导思想、方法步骤，细化了应达到的绩效目标和相应的绩效指标，完善了绩效评价工作体系。二是按照经济性、效率性、有效性的原则，定量分析与定性分析相结合的原则，真实性、科学性、规范性的原则，对重点项目制定绩效评价实施方案和绩效指标评价体系。</w:t>
      </w:r>
      <w:r>
        <w:rPr>
          <w:rFonts w:hint="eastAsia" w:ascii="仿宋" w:hAnsi="仿宋" w:eastAsia="仿宋"/>
          <w:sz w:val="32"/>
          <w:szCs w:val="32"/>
        </w:rPr>
        <w:t>编制2018年预算时，同时编制了绩效目标，使绩效目标管理达到全覆盖。最后探索绩效跟踪监控，针对重大活动，重点工作，财务室都要求相关业务股室提供绩效运行信息，加强资金绩效监控。</w:t>
      </w:r>
    </w:p>
    <w:p>
      <w:pPr>
        <w:adjustRightInd w:val="0"/>
        <w:snapToGrid w:val="0"/>
        <w:spacing w:after="0" w:line="584"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adjustRightInd w:val="0"/>
        <w:snapToGrid w:val="0"/>
        <w:spacing w:after="0" w:line="584" w:lineRule="exact"/>
        <w:ind w:firstLine="640" w:firstLineChars="200"/>
        <w:rPr>
          <w:rFonts w:ascii="仿宋" w:hAnsi="仿宋" w:eastAsia="仿宋"/>
          <w:sz w:val="32"/>
          <w:szCs w:val="32"/>
        </w:rPr>
      </w:pPr>
      <w:r>
        <w:rPr>
          <w:rFonts w:hint="eastAsia" w:ascii="仿宋" w:hAnsi="仿宋" w:eastAsia="仿宋"/>
          <w:sz w:val="32"/>
          <w:szCs w:val="32"/>
        </w:rPr>
        <w:t>对于预算内项目资金支出开展资金支出评价工作，对重大项目资金支出委托第三方实施绩效评价，形成绩效评价报告。增加绩效评价的科学性、合理性。</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widowControl/>
        <w:spacing w:after="0" w:line="240" w:lineRule="auto"/>
        <w:ind w:firstLine="640" w:firstLineChars="200"/>
        <w:jc w:val="left"/>
        <w:rPr>
          <w:rFonts w:ascii="仿宋" w:hAnsi="仿宋" w:eastAsia="仿宋"/>
          <w:sz w:val="32"/>
          <w:szCs w:val="32"/>
        </w:rPr>
      </w:pPr>
      <w:r>
        <w:rPr>
          <w:rFonts w:hint="eastAsia" w:ascii="仿宋" w:hAnsi="仿宋" w:eastAsia="仿宋"/>
          <w:kern w:val="0"/>
          <w:sz w:val="32"/>
          <w:szCs w:val="32"/>
        </w:rPr>
        <w:t>通过开展201</w:t>
      </w:r>
      <w:r>
        <w:rPr>
          <w:rFonts w:ascii="仿宋" w:hAnsi="仿宋" w:eastAsia="仿宋"/>
          <w:kern w:val="0"/>
          <w:sz w:val="32"/>
          <w:szCs w:val="32"/>
        </w:rPr>
        <w:t>8</w:t>
      </w:r>
      <w:r>
        <w:rPr>
          <w:rFonts w:hint="eastAsia" w:ascii="仿宋" w:hAnsi="仿宋" w:eastAsia="仿宋"/>
          <w:kern w:val="0"/>
          <w:sz w:val="32"/>
          <w:szCs w:val="32"/>
        </w:rPr>
        <w:t>年专项项目绩效评价，我部门社会效益良好，绩效综合评价等级“优”。通过绩效评价，促进了项目管理水平的提高，进一步完善了规章制度；明确了各项目绩效目标，合理设置内容全面、可操作性强的绩效评价指标，达到了绩效考核的目的。</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年度机关运行经费支出227.49万元，比年初预算数增加</w:t>
      </w:r>
      <w:r>
        <w:rPr>
          <w:rFonts w:ascii="仿宋_GB2312" w:eastAsia="仿宋_GB2312" w:cs="DengXian-Regular"/>
          <w:sz w:val="32"/>
          <w:szCs w:val="32"/>
        </w:rPr>
        <w:t>(</w:t>
      </w:r>
      <w:r>
        <w:rPr>
          <w:rFonts w:hint="eastAsia" w:ascii="仿宋_GB2312" w:eastAsia="仿宋_GB2312" w:cs="DengXian-Regular"/>
          <w:sz w:val="32"/>
          <w:szCs w:val="32"/>
        </w:rPr>
        <w:t>减少</w:t>
      </w:r>
      <w:r>
        <w:rPr>
          <w:rFonts w:ascii="仿宋_GB2312" w:eastAsia="仿宋_GB2312" w:cs="DengXian-Regular"/>
          <w:sz w:val="32"/>
          <w:szCs w:val="32"/>
        </w:rPr>
        <w:t>)</w:t>
      </w:r>
      <w:r>
        <w:rPr>
          <w:rFonts w:eastAsia="仿宋_GB2312"/>
          <w:sz w:val="32"/>
          <w:szCs w:val="32"/>
        </w:rPr>
        <w:t xml:space="preserve"> </w:t>
      </w:r>
      <w:r>
        <w:rPr>
          <w:rFonts w:hint="eastAsia" w:eastAsia="仿宋_GB2312"/>
          <w:sz w:val="32"/>
          <w:szCs w:val="32"/>
        </w:rPr>
        <w:t>66.32</w:t>
      </w:r>
      <w:r>
        <w:rPr>
          <w:rFonts w:hint="eastAsia" w:ascii="仿宋_GB2312" w:eastAsia="仿宋_GB2312" w:cs="DengXian-Regular"/>
          <w:sz w:val="32"/>
          <w:szCs w:val="32"/>
        </w:rPr>
        <w:t>万元，增长</w:t>
      </w:r>
      <w:r>
        <w:rPr>
          <w:rFonts w:hint="eastAsia" w:eastAsia="仿宋_GB2312"/>
          <w:sz w:val="32"/>
          <w:szCs w:val="32"/>
        </w:rPr>
        <w:t>41</w:t>
      </w:r>
      <w:r>
        <w:rPr>
          <w:rFonts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。主要是人员和公用经费增加。</w:t>
      </w:r>
      <w:r>
        <w:rPr>
          <w:rFonts w:hint="eastAsia" w:eastAsia="仿宋_GB2312"/>
          <w:sz w:val="32"/>
          <w:szCs w:val="32"/>
        </w:rPr>
        <w:t>较</w:t>
      </w:r>
      <w:r>
        <w:rPr>
          <w:rFonts w:eastAsia="仿宋_GB2312"/>
          <w:sz w:val="32"/>
          <w:szCs w:val="32"/>
        </w:rPr>
        <w:t>2017</w:t>
      </w:r>
      <w:r>
        <w:rPr>
          <w:rFonts w:hint="eastAsia" w:eastAsia="仿宋_GB2312"/>
          <w:sz w:val="32"/>
          <w:szCs w:val="32"/>
        </w:rPr>
        <w:t>年度决算减少5.83万元，降低2.4</w:t>
      </w:r>
      <w:r>
        <w:rPr>
          <w:rFonts w:eastAsia="仿宋_GB2312"/>
          <w:sz w:val="32"/>
          <w:szCs w:val="32"/>
        </w:rPr>
        <w:t>%</w:t>
      </w:r>
      <w:r>
        <w:rPr>
          <w:rFonts w:hint="eastAsia" w:eastAsia="仿宋_GB2312"/>
          <w:sz w:val="32"/>
          <w:szCs w:val="32"/>
        </w:rPr>
        <w:t>，主要是</w:t>
      </w:r>
      <w:r>
        <w:rPr>
          <w:rFonts w:hint="eastAsia" w:ascii="仿宋" w:hAnsi="仿宋" w:eastAsia="仿宋"/>
          <w:sz w:val="32"/>
          <w:szCs w:val="32"/>
        </w:rPr>
        <w:t>严格控制经费使用，费用下降。</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4"/>
        <w:spacing w:before="0" w:after="0" w:line="580" w:lineRule="exact"/>
        <w:ind w:firstLine="640" w:firstLineChars="200"/>
        <w:rPr>
          <w:rFonts w:hint="eastAsia" w:ascii="仿宋" w:hAnsi="仿宋" w:eastAsia="仿宋"/>
          <w:b w:val="0"/>
          <w:bCs w:val="0"/>
          <w:sz w:val="32"/>
          <w:szCs w:val="32"/>
        </w:rPr>
      </w:pPr>
      <w:r>
        <w:rPr>
          <w:rFonts w:hint="eastAsia" w:ascii="仿宋" w:hAnsi="仿宋" w:eastAsia="仿宋"/>
          <w:b w:val="0"/>
          <w:bCs w:val="0"/>
          <w:sz w:val="32"/>
          <w:szCs w:val="32"/>
        </w:rPr>
        <w:t>本部门2018年度政府采购支出总额</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万元，从采购类型来看，政府采购货物支出</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 xml:space="preserve"> 万元、政府采购工程支出</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 xml:space="preserve">万元、政府采购服务支出 </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万元。授予中小企业合同金</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万元，占政府采购支出总额的</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%，其中授予小微企业合同金额</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 xml:space="preserve">万元，占政府采购支出总额的 </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w:t>
      </w:r>
    </w:p>
    <w:p>
      <w:pPr>
        <w:pStyle w:val="4"/>
        <w:spacing w:before="0" w:after="0" w:line="580" w:lineRule="exact"/>
        <w:ind w:firstLine="640" w:firstLineChars="200"/>
        <w:rPr>
          <w:rFonts w:ascii="楷体_GB2312" w:eastAsia="楷体_GB2312" w:cs="DengXian-Bold"/>
          <w:b w:val="0"/>
          <w:bCs w:val="0"/>
        </w:rPr>
      </w:pPr>
      <w:r>
        <w:rPr>
          <w:rFonts w:hint="eastAsia" w:ascii="楷体_GB2312" w:eastAsia="楷体_GB2312" w:cs="DengXian-Bold"/>
          <w:b w:val="0"/>
          <w:bCs w:val="0"/>
        </w:rPr>
        <w:t>（三）国有资产占用情况</w:t>
      </w:r>
    </w:p>
    <w:p>
      <w:pPr>
        <w:adjustRightInd w:val="0"/>
        <w:snapToGrid w:val="0"/>
        <w:spacing w:line="580" w:lineRule="exact"/>
        <w:ind w:firstLine="640" w:firstLineChars="200"/>
        <w:rPr>
          <w:szCs w:val="21"/>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w:t>
      </w:r>
      <w:r>
        <w:rPr>
          <w:rFonts w:ascii="仿宋_GB2312" w:eastAsia="仿宋_GB2312" w:cs="DengXian-Regular"/>
          <w:sz w:val="32"/>
          <w:szCs w:val="32"/>
        </w:rPr>
        <w:t>1</w:t>
      </w:r>
      <w:r>
        <w:rPr>
          <w:rFonts w:hint="eastAsia" w:ascii="仿宋_GB2312" w:eastAsia="仿宋_GB2312" w:cs="DengXian-Regular"/>
          <w:sz w:val="32"/>
          <w:szCs w:val="32"/>
        </w:rPr>
        <w:t>辆</w:t>
      </w:r>
      <w:r>
        <w:rPr>
          <w:rFonts w:hint="eastAsia" w:ascii="仿宋_GB2312" w:hAnsi="Calibri" w:eastAsia="仿宋_GB2312"/>
          <w:color w:val="3E3E3E"/>
          <w:sz w:val="32"/>
          <w:szCs w:val="32"/>
        </w:rPr>
        <w:t>一般公务用车</w:t>
      </w:r>
      <w:r>
        <w:rPr>
          <w:rFonts w:hint="eastAsia" w:ascii="仿宋_GB2312" w:hAnsi="Calibri" w:eastAsia="仿宋_GB2312"/>
          <w:color w:val="3E3E3E"/>
          <w:sz w:val="32"/>
          <w:szCs w:val="32"/>
          <w:lang w:eastAsia="zh-CN"/>
        </w:rPr>
        <w:t>，</w:t>
      </w:r>
      <w:r>
        <w:rPr>
          <w:rFonts w:hint="eastAsia" w:ascii="仿宋_GB2312" w:hAnsi="Times New Roman" w:eastAsia="仿宋_GB2312" w:cs="DengXian-Regular"/>
          <w:sz w:val="32"/>
          <w:szCs w:val="32"/>
          <w:lang w:val="en-US" w:eastAsia="zh-CN"/>
        </w:rPr>
        <w:t>与上年持平，没有增减变化</w:t>
      </w:r>
      <w:r>
        <w:rPr>
          <w:rFonts w:hint="eastAsia" w:ascii="仿宋_GB2312" w:hAnsi="Times New Roman" w:eastAsia="仿宋_GB2312" w:cs="DengXian-Regular"/>
          <w:sz w:val="32"/>
          <w:szCs w:val="32"/>
        </w:rPr>
        <w:t>。其中，</w:t>
      </w:r>
      <w:r>
        <w:rPr>
          <w:rFonts w:hint="eastAsia" w:ascii="仿宋" w:hAnsi="仿宋" w:eastAsia="仿宋"/>
          <w:sz w:val="32"/>
          <w:szCs w:val="32"/>
        </w:rPr>
        <w:t>县级领导干部用车0辆，</w:t>
      </w:r>
      <w:r>
        <w:rPr>
          <w:rFonts w:hint="eastAsia" w:ascii="仿宋_GB2312" w:hAnsi="Times New Roman" w:eastAsia="仿宋_GB2312" w:cs="DengXian-Regular"/>
          <w:sz w:val="32"/>
          <w:szCs w:val="32"/>
          <w:lang w:val="en-US" w:eastAsia="zh-CN"/>
        </w:rPr>
        <w:t>公务用车1</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eastAsia="仿宋_GB2312" w:cs="DengXian-Regular"/>
          <w:sz w:val="32"/>
          <w:szCs w:val="32"/>
          <w:lang w:eastAsia="zh-CN"/>
        </w:rPr>
        <w:t>，</w:t>
      </w:r>
      <w:r>
        <w:rPr>
          <w:rFonts w:hint="eastAsia" w:ascii="仿宋" w:hAnsi="仿宋" w:eastAsia="仿宋"/>
          <w:sz w:val="32"/>
          <w:szCs w:val="32"/>
        </w:rPr>
        <w:t>其他用车0辆</w:t>
      </w:r>
      <w:r>
        <w:rPr>
          <w:rFonts w:hint="eastAsia" w:ascii="仿宋" w:hAnsi="仿宋" w:eastAsia="仿宋"/>
          <w:sz w:val="32"/>
          <w:szCs w:val="32"/>
          <w:lang w:eastAsia="zh-CN"/>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持平，无增减变化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与上年持平，无增减变化</w:t>
      </w:r>
      <w:r>
        <w:rPr>
          <w:rFonts w:hint="eastAsia" w:ascii="仿宋_GB2312" w:hAnsi="Times New Roman"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 w:hAnsi="仿宋" w:eastAsia="仿宋"/>
          <w:sz w:val="32"/>
          <w:szCs w:val="32"/>
        </w:rPr>
        <w:t>本部门201</w:t>
      </w:r>
      <w:r>
        <w:rPr>
          <w:rFonts w:hint="eastAsia" w:ascii="仿宋" w:hAnsi="仿宋" w:eastAsia="仿宋"/>
          <w:sz w:val="32"/>
          <w:szCs w:val="32"/>
        </w:rPr>
        <w:t>8</w:t>
      </w:r>
      <w:r>
        <w:rPr>
          <w:rFonts w:ascii="仿宋" w:hAnsi="仿宋" w:eastAsia="仿宋"/>
          <w:sz w:val="32"/>
          <w:szCs w:val="32"/>
        </w:rPr>
        <w:t>年度无</w:t>
      </w:r>
      <w:r>
        <w:rPr>
          <w:rFonts w:hint="eastAsia" w:ascii="仿宋" w:hAnsi="仿宋" w:eastAsia="仿宋"/>
          <w:sz w:val="32"/>
          <w:szCs w:val="32"/>
        </w:rPr>
        <w:t>政府性基金预算和国有资本经营预算财政拨款，</w:t>
      </w:r>
      <w:r>
        <w:rPr>
          <w:rFonts w:ascii="仿宋" w:hAnsi="仿宋" w:eastAsia="仿宋"/>
          <w:sz w:val="32"/>
          <w:szCs w:val="32"/>
        </w:rPr>
        <w:t>故</w:t>
      </w:r>
      <w:r>
        <w:rPr>
          <w:rFonts w:hint="eastAsia" w:ascii="仿宋" w:hAnsi="仿宋" w:eastAsia="仿宋"/>
          <w:sz w:val="32"/>
          <w:szCs w:val="32"/>
        </w:rPr>
        <w:t>政府性基金预算财政拨款收入支出决算表、国有资本经营预算财政拨款收入支出决算表</w:t>
      </w:r>
      <w:r>
        <w:rPr>
          <w:rFonts w:ascii="仿宋" w:hAnsi="仿宋" w:eastAsia="仿宋"/>
          <w:sz w:val="32"/>
          <w:szCs w:val="32"/>
        </w:rPr>
        <w:t>以空表列示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仿宋_GB2312" w:hAnsi="宋体" w:eastAsia="仿宋_GB2312" w:cs="MS-UIGothic,Bold"/>
          <w:bCs/>
          <w:sz w:val="32"/>
          <w:szCs w:val="32"/>
        </w:r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rPr>
          <w:rFonts w:ascii="仿宋_GB2312" w:hAnsi="Cambria" w:eastAsia="仿宋_GB2312" w:cs="ArialUnicodeMS"/>
          <w:kern w:val="0"/>
          <w:sz w:val="32"/>
          <w:szCs w:val="32"/>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Yu Gothic UI Semibold">
    <w:altName w:val="Segoe UI"/>
    <w:panose1 w:val="020B0700000000000000"/>
    <w:charset w:val="80"/>
    <w:family w:val="swiss"/>
    <w:pitch w:val="default"/>
    <w:sig w:usb0="00000000" w:usb1="00000000"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思源黑体 HW Bold">
    <w:altName w:val="黑体"/>
    <w:panose1 w:val="00000000000000000000"/>
    <w:charset w:val="86"/>
    <w:family w:val="swiss"/>
    <w:pitch w:val="default"/>
    <w:sig w:usb0="00000000" w:usb1="00000000" w:usb2="00000016" w:usb3="00000000" w:csb0="002E0107" w:csb1="00000000"/>
  </w:font>
  <w:font w:name="TimesNewRomanPSMT">
    <w:altName w:val="Arial"/>
    <w:panose1 w:val="00000000000000000000"/>
    <w:charset w:val="00"/>
    <w:family w:val="swiss"/>
    <w:pitch w:val="default"/>
    <w:sig w:usb0="00000000" w:usb1="00000000" w:usb2="00000000" w:usb3="00000000" w:csb0="00000001" w:csb1="00000000"/>
  </w:font>
  <w:font w:name="等线">
    <w:altName w:val="微软雅黑"/>
    <w:panose1 w:val="00000000000000000000"/>
    <w:charset w:val="00"/>
    <w:family w:val="auto"/>
    <w:pitch w:val="default"/>
    <w:sig w:usb0="00000000" w:usb1="00000000" w:usb2="00000000" w:usb3="00000000" w:csb0="00000000" w:csb1="00000000"/>
  </w:font>
  <w:font w:name="Meiryo UI">
    <w:altName w:val="Segoe UI"/>
    <w:panose1 w:val="020B0604030504040204"/>
    <w:charset w:val="80"/>
    <w:family w:val="auto"/>
    <w:pitch w:val="default"/>
    <w:sig w:usb0="00000000" w:usb1="00000000" w:usb2="00010012" w:usb3="00000000" w:csb0="6002009F" w:csb1="DFD7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80"/>
    <w:family w:val="swiss"/>
    <w:pitch w:val="default"/>
    <w:sig w:usb0="E4002EFF" w:usb1="C000E47F"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___WRD_EMBED_SUB_48">
    <w:altName w:val="宋体"/>
    <w:panose1 w:val="02010600030101010101"/>
    <w:charset w:val="86"/>
    <w:family w:val="modern"/>
    <w:pitch w:val="default"/>
    <w:sig w:usb0="00000000" w:usb1="00000000" w:usb2="00000000" w:usb3="00000000" w:csb0="00000000" w:csb1="00000000"/>
  </w:font>
  <w:font w:name="___WRD_EMBED_SUB_39">
    <w:altName w:val="宋体"/>
    <w:panose1 w:val="0201060003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Meiryo">
    <w:altName w:val="Segoe UI"/>
    <w:panose1 w:val="020B0604030504040204"/>
    <w:charset w:val="80"/>
    <w:family w:val="auto"/>
    <w:pitch w:val="default"/>
    <w:sig w:usb0="00000000" w:usb1="00000000" w:usb2="00010012" w:usb3="00000000" w:csb0="6002009F" w:csb1="DFD70000"/>
  </w:font>
  <w:font w:name="小标宋">
    <w:altName w:val="黑体"/>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142EB"/>
    <w:rsid w:val="04BF5E11"/>
    <w:rsid w:val="05733336"/>
    <w:rsid w:val="1F1142EB"/>
    <w:rsid w:val="425504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libri" w:hAnsi="Calibri"/>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2021-05-18T09:25:00Z</dcterms:created>
  <dc:creator>Administrator</dc:creator>
  <cp:lastModifiedBy>Administrator</cp:lastModifiedBy>
  <dcterms:modified xsi:type="dcterms:W3CDTF">2021-05-31T08:20:13Z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